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3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CENTRO Laboratorio de Entrenamiento Multidisciplinario para la Investigación Tecnológica LEMIT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Ser investigador/a categorizado/a a partir de Independiente en organismos de investigación o universidades nacionales, o haber ejercido la dirección de centros o institutos de I+D. Ser especialista en la disciplina del centro, estar en actividad y contar con antecedentes en gestión, vinculación y desarrollo tecnológico. Ser menor de sesenta y cinco (65) años a la fecha de inicio de inscripción y no estar comprendido/a en causales de inhabilitación para cargos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Encode Sans" w:cs="Encode Sans" w:eastAsia="Encode Sans" w:hAnsi="Encode Sans"/>
          <w:b w:val="1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4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cic.centros@gmail.com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19053</wp:posOffset>
          </wp:positionH>
          <wp:positionV relativeFrom="paragraph">
            <wp:posOffset>215162</wp:posOffset>
          </wp:positionV>
          <wp:extent cx="5731200" cy="1104900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c.vinculacionytransferencia@gmail.com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ge/JZVYAvl2Vo7r3qYiSTmjBg==">CgMxLjAyCGguZ2pkZ3hzOAByITFmTmlndkszY2QxSHdzSXBNM2pUUUFiNi1qWUhYcGdSRg==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