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26390"/>
          <w:sz w:val="20"/>
          <w:szCs w:val="20"/>
          <w:shd w:fill="eeeeee" w:val="clear"/>
          <w:rtl w:val="0"/>
        </w:rPr>
        <w:t xml:space="preserve">GDEBA IF-2025-38294065-GDEBA-DGIYPECIC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jc w:val="center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Boletín Oficial de la Provincia de Buenos Aires e Internet</w:t>
      </w:r>
    </w:p>
    <w:p w:rsidR="00000000" w:rsidDel="00000000" w:rsidP="00000000" w:rsidRDefault="00000000" w:rsidRPr="00000000" w14:paraId="00000005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 COMISIÓN DE INVESTIGACIONES CIENTÍFICAS DE LA PROVINCIA DE BUENOS</w:t>
      </w:r>
    </w:p>
    <w:p w:rsidR="00000000" w:rsidDel="00000000" w:rsidP="00000000" w:rsidRDefault="00000000" w:rsidRPr="00000000" w14:paraId="00000007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AIRES (CIC-PBA) LLAMA A CONCURSO PÚBLICO PARA LA SELECCIÓN DE</w:t>
      </w:r>
    </w:p>
    <w:p w:rsidR="00000000" w:rsidDel="00000000" w:rsidP="00000000" w:rsidRDefault="00000000" w:rsidRPr="00000000" w14:paraId="00000008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DIRECTOR/A: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CENTRO DE INVESTIGACIÓN EN METROLOGÍA Y CALIDAD (CEMECA)</w:t>
      </w:r>
    </w:p>
    <w:p w:rsidR="00000000" w:rsidDel="00000000" w:rsidP="00000000" w:rsidRDefault="00000000" w:rsidRPr="00000000" w14:paraId="0000000A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CONSULTA Y DESCARGA DEL REGLAMENTO DE CONCURSO, TÉRMINOS DE</w:t>
      </w:r>
    </w:p>
    <w:p w:rsidR="00000000" w:rsidDel="00000000" w:rsidP="00000000" w:rsidRDefault="00000000" w:rsidRPr="00000000" w14:paraId="0000000D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REFERENCIA y PERFIL EN:</w:t>
      </w:r>
    </w:p>
    <w:p w:rsidR="00000000" w:rsidDel="00000000" w:rsidP="00000000" w:rsidRDefault="00000000" w:rsidRPr="00000000" w14:paraId="0000000E">
      <w:pPr>
        <w:jc w:val="both"/>
        <w:rPr>
          <w:rFonts w:ascii="Encode Sans" w:cs="Encode Sans" w:eastAsia="Encode Sans" w:hAnsi="Encode Sans"/>
          <w:highlight w:val="white"/>
        </w:rPr>
      </w:pP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/</w:t>
      </w: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highlight w:val="white"/>
            <w:u w:val="single"/>
            <w:rtl w:val="0"/>
          </w:rPr>
          <w:t xml:space="preserve">https://www.cic.gba.gob.ar/</w:t>
        </w:r>
      </w:hyperlink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Las presentaciones de los postulantes SERÁN EXCLUSIVAMENTE EN FORMATO ELECTRÓNICO.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ENVIAR PRESENTACIÓN A:</w:t>
      </w:r>
    </w:p>
    <w:p w:rsidR="00000000" w:rsidDel="00000000" w:rsidP="00000000" w:rsidRDefault="00000000" w:rsidRPr="00000000" w14:paraId="00000012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cic.vinculacionytransferencia@gmail.com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, </w:t>
      </w:r>
      <w:r w:rsidDel="00000000" w:rsidR="00000000" w:rsidRPr="00000000">
        <w:rPr>
          <w:rFonts w:ascii="Encode Sans" w:cs="Encode Sans" w:eastAsia="Encode Sans" w:hAnsi="Encode Sans"/>
          <w:color w:val="1155cc"/>
          <w:u w:val="single"/>
          <w:rtl w:val="0"/>
        </w:rPr>
        <w:t xml:space="preserve">cic.centros</w:t>
      </w:r>
      <w:hyperlink r:id="rId9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@gmail</w:t>
        </w:r>
      </w:hyperlink>
      <w:r w:rsidDel="00000000" w:rsidR="00000000" w:rsidRPr="00000000">
        <w:rPr>
          <w:rFonts w:ascii="Encode Sans" w:cs="Encode Sans" w:eastAsia="Encode Sans" w:hAnsi="Encode Sans"/>
          <w:color w:val="1155cc"/>
          <w:u w:val="single"/>
          <w:rtl w:val="0"/>
        </w:rPr>
        <w:t xml:space="preserve">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FECHAS DE APERTURA Y CIERRE DE LA INSCRIPCIÓN: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10 de noviembre a 10 de diciembre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31200" cy="1104900"/>
          <wp:effectExtent b="0" l="0" r="0" t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edoc.cic@gba.gob.ar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ic.vinculacionytransferencia@gmail.com" TargetMode="External"/><Relationship Id="rId8" Type="http://schemas.openxmlformats.org/officeDocument/2006/relationships/hyperlink" Target="https://www.cic.gba.gob.a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Bx+SZQ40pKXUcqShRmrBd0gCg==">CgMxLjA4AHIhMVdCeDJjSkZ6dTBtSDR6R0pxSWs2MTIyZ2RFN01KRWJS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